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887" w:rsidRDefault="0094051A">
      <w:r>
        <w:t>CANCER MEDULLAIRE de la THYROIDE</w:t>
      </w:r>
    </w:p>
    <w:p w:rsidR="0094051A" w:rsidRDefault="0094051A"/>
    <w:p w:rsidR="0094051A" w:rsidRDefault="0094051A"/>
    <w:p w:rsidR="0094051A" w:rsidRDefault="0094051A">
      <w:r>
        <w:t>3 à 5% des cancers thyroïdiens</w:t>
      </w:r>
    </w:p>
    <w:p w:rsidR="0094051A" w:rsidRDefault="0094051A">
      <w:r>
        <w:t>Héréditaire dans 25% des cas dans le cadre d’une NEM</w:t>
      </w:r>
    </w:p>
    <w:p w:rsidR="0094051A" w:rsidRDefault="0094051A">
      <w:r>
        <w:t>3 formes : NEM 2A, 2B ou CMT familial</w:t>
      </w:r>
    </w:p>
    <w:p w:rsidR="0094051A" w:rsidRDefault="0094051A"/>
    <w:p w:rsidR="0094051A" w:rsidRDefault="0094051A">
      <w:r>
        <w:t>Si découverte d’un CMT, 3 étapes</w:t>
      </w:r>
    </w:p>
    <w:p w:rsidR="0094051A" w:rsidRDefault="0094051A" w:rsidP="0094051A">
      <w:pPr>
        <w:pStyle w:val="Paragraphedeliste"/>
        <w:numPr>
          <w:ilvl w:val="0"/>
          <w:numId w:val="1"/>
        </w:numPr>
      </w:pPr>
      <w:r>
        <w:t>Bilan d’extension</w:t>
      </w:r>
    </w:p>
    <w:p w:rsidR="0094051A" w:rsidRDefault="0094051A" w:rsidP="0094051A">
      <w:pPr>
        <w:pStyle w:val="Paragraphedeliste"/>
        <w:numPr>
          <w:ilvl w:val="0"/>
          <w:numId w:val="1"/>
        </w:numPr>
      </w:pPr>
      <w:r>
        <w:t>Caractère génétique ou sporadique : étude mutation gêne RET</w:t>
      </w:r>
    </w:p>
    <w:p w:rsidR="0094051A" w:rsidRDefault="0094051A" w:rsidP="0094051A">
      <w:pPr>
        <w:pStyle w:val="Paragraphedeliste"/>
        <w:numPr>
          <w:ilvl w:val="0"/>
          <w:numId w:val="1"/>
        </w:numPr>
      </w:pPr>
      <w:r>
        <w:t xml:space="preserve">Recherche à une association à une NEM </w:t>
      </w:r>
    </w:p>
    <w:p w:rsidR="00DA4C40" w:rsidRDefault="00DA4C40" w:rsidP="00DA4C40">
      <w:pPr>
        <w:pStyle w:val="Paragraphedeliste"/>
        <w:numPr>
          <w:ilvl w:val="1"/>
          <w:numId w:val="1"/>
        </w:numPr>
      </w:pPr>
      <w:r>
        <w:t xml:space="preserve">NEM 2A : </w:t>
      </w:r>
    </w:p>
    <w:p w:rsidR="00DA4C40" w:rsidRDefault="00DA4C40" w:rsidP="00DA4C40">
      <w:pPr>
        <w:pStyle w:val="Paragraphedeliste"/>
        <w:numPr>
          <w:ilvl w:val="2"/>
          <w:numId w:val="1"/>
        </w:numPr>
      </w:pPr>
      <w:proofErr w:type="gramStart"/>
      <w:r>
        <w:t>hyperparathyroïdie</w:t>
      </w:r>
      <w:proofErr w:type="gramEnd"/>
      <w:r>
        <w:t xml:space="preserve"> et ph</w:t>
      </w:r>
      <w:r w:rsidR="006E1A80">
        <w:t>é</w:t>
      </w:r>
      <w:bookmarkStart w:id="0" w:name="_GoBack"/>
      <w:bookmarkEnd w:id="0"/>
      <w:r>
        <w:t>ochromocytome</w:t>
      </w:r>
    </w:p>
    <w:p w:rsidR="00DA4C40" w:rsidRDefault="00DA4C40" w:rsidP="00DA4C40">
      <w:pPr>
        <w:pStyle w:val="Paragraphedeliste"/>
        <w:numPr>
          <w:ilvl w:val="2"/>
          <w:numId w:val="1"/>
        </w:numPr>
      </w:pPr>
      <w:proofErr w:type="gramStart"/>
      <w:r>
        <w:t>lichen</w:t>
      </w:r>
      <w:proofErr w:type="gramEnd"/>
      <w:r>
        <w:t xml:space="preserve"> cutanée amyloïde</w:t>
      </w:r>
    </w:p>
    <w:p w:rsidR="00DA4C40" w:rsidRDefault="00DA4C40" w:rsidP="00DA4C40">
      <w:pPr>
        <w:pStyle w:val="Paragraphedeliste"/>
        <w:numPr>
          <w:ilvl w:val="2"/>
          <w:numId w:val="1"/>
        </w:numPr>
      </w:pPr>
      <w:proofErr w:type="gramStart"/>
      <w:r>
        <w:t>mala</w:t>
      </w:r>
      <w:r w:rsidR="006E1A80">
        <w:t>d</w:t>
      </w:r>
      <w:r>
        <w:t>ie</w:t>
      </w:r>
      <w:proofErr w:type="gramEnd"/>
      <w:r>
        <w:t xml:space="preserve"> de Hirschsprung</w:t>
      </w:r>
    </w:p>
    <w:p w:rsidR="00DA4C40" w:rsidRDefault="00DA4C40" w:rsidP="00DA4C40">
      <w:pPr>
        <w:pStyle w:val="Paragraphedeliste"/>
        <w:numPr>
          <w:ilvl w:val="2"/>
          <w:numId w:val="1"/>
        </w:numPr>
      </w:pPr>
      <w:proofErr w:type="gramStart"/>
      <w:r>
        <w:t>forme</w:t>
      </w:r>
      <w:proofErr w:type="gramEnd"/>
      <w:r>
        <w:t xml:space="preserve"> familiale de CMT</w:t>
      </w:r>
    </w:p>
    <w:p w:rsidR="00DA4C40" w:rsidRDefault="00DA4C40" w:rsidP="00DA4C40">
      <w:pPr>
        <w:pStyle w:val="Paragraphedeliste"/>
        <w:numPr>
          <w:ilvl w:val="1"/>
          <w:numId w:val="1"/>
        </w:numPr>
      </w:pPr>
      <w:r>
        <w:t>NEM2B</w:t>
      </w:r>
    </w:p>
    <w:p w:rsidR="0094051A" w:rsidRDefault="0094051A" w:rsidP="0094051A">
      <w:pPr>
        <w:pStyle w:val="Paragraphedeliste"/>
      </w:pPr>
    </w:p>
    <w:p w:rsidR="0094051A" w:rsidRDefault="0094051A">
      <w:r>
        <w:t xml:space="preserve">Développé </w:t>
      </w:r>
      <w:r w:rsidR="006E1A80">
        <w:t>aux dépens des</w:t>
      </w:r>
      <w:r>
        <w:t xml:space="preserve"> cellules C, située à la jonction 1/3 moyen / 1/3 sup des lobes thyroïdiens</w:t>
      </w:r>
    </w:p>
    <w:p w:rsidR="0094051A" w:rsidRDefault="0094051A"/>
    <w:p w:rsidR="006E1A80" w:rsidRDefault="006E1A80" w:rsidP="006E1A80">
      <w:r>
        <w:t>Présentation clinique</w:t>
      </w:r>
    </w:p>
    <w:p w:rsidR="006E1A80" w:rsidRDefault="006E1A80" w:rsidP="006E1A80">
      <w:pPr>
        <w:pStyle w:val="Paragraphedeliste"/>
        <w:numPr>
          <w:ilvl w:val="0"/>
          <w:numId w:val="1"/>
        </w:numPr>
      </w:pPr>
      <w:proofErr w:type="gramStart"/>
      <w:r>
        <w:t>nodule</w:t>
      </w:r>
      <w:proofErr w:type="gramEnd"/>
      <w:r>
        <w:t xml:space="preserve"> thyroïdien palpable dans 75% des cas</w:t>
      </w:r>
    </w:p>
    <w:p w:rsidR="006E1A80" w:rsidRDefault="006E1A80" w:rsidP="006E1A80">
      <w:pPr>
        <w:pStyle w:val="Paragraphedeliste"/>
        <w:numPr>
          <w:ilvl w:val="0"/>
          <w:numId w:val="1"/>
        </w:numPr>
      </w:pPr>
      <w:proofErr w:type="gramStart"/>
      <w:r>
        <w:t>entre</w:t>
      </w:r>
      <w:proofErr w:type="gramEnd"/>
      <w:r>
        <w:t xml:space="preserve"> 40 et 60 ans</w:t>
      </w:r>
    </w:p>
    <w:p w:rsidR="006E1A80" w:rsidRDefault="006E1A80" w:rsidP="006E1A80">
      <w:pPr>
        <w:pStyle w:val="Paragraphedeliste"/>
        <w:numPr>
          <w:ilvl w:val="0"/>
          <w:numId w:val="1"/>
        </w:numPr>
      </w:pPr>
      <w:r>
        <w:t>ADP dans 70% des cas où nodule palpable</w:t>
      </w:r>
    </w:p>
    <w:p w:rsidR="006E1A80" w:rsidRDefault="006E1A80" w:rsidP="006E1A80">
      <w:pPr>
        <w:pStyle w:val="Paragraphedeliste"/>
        <w:numPr>
          <w:ilvl w:val="0"/>
          <w:numId w:val="1"/>
        </w:numPr>
      </w:pPr>
      <w:proofErr w:type="gramStart"/>
      <w:r>
        <w:t>Localisation  1</w:t>
      </w:r>
      <w:proofErr w:type="gramEnd"/>
      <w:r>
        <w:t>/3 supérieur du lobe</w:t>
      </w:r>
    </w:p>
    <w:p w:rsidR="006E1A80" w:rsidRDefault="006E1A80" w:rsidP="006E1A80">
      <w:pPr>
        <w:pStyle w:val="Paragraphedeliste"/>
        <w:numPr>
          <w:ilvl w:val="0"/>
          <w:numId w:val="1"/>
        </w:numPr>
      </w:pPr>
      <w:r>
        <w:t>Diarrhée</w:t>
      </w:r>
      <w:r>
        <w:t xml:space="preserve"> et flush</w:t>
      </w:r>
    </w:p>
    <w:p w:rsidR="006E1A80" w:rsidRDefault="006E1A80" w:rsidP="006E1A80">
      <w:pPr>
        <w:pStyle w:val="Paragraphedeliste"/>
      </w:pPr>
    </w:p>
    <w:p w:rsidR="0094051A" w:rsidRDefault="0094051A">
      <w:r>
        <w:t>Fréquences des métastases</w:t>
      </w:r>
    </w:p>
    <w:p w:rsidR="0094051A" w:rsidRDefault="0094051A">
      <w:r>
        <w:t xml:space="preserve">37% dans micro </w:t>
      </w:r>
      <w:proofErr w:type="gramStart"/>
      <w:r>
        <w:t>CMT( &lt;</w:t>
      </w:r>
      <w:proofErr w:type="gramEnd"/>
      <w:r>
        <w:t xml:space="preserve"> 1 cm)</w:t>
      </w:r>
    </w:p>
    <w:p w:rsidR="0094051A" w:rsidRDefault="0094051A" w:rsidP="0094051A">
      <w:pPr>
        <w:pStyle w:val="Paragraphedeliste"/>
        <w:numPr>
          <w:ilvl w:val="0"/>
          <w:numId w:val="2"/>
        </w:numPr>
      </w:pPr>
      <w:r>
        <w:t xml:space="preserve">75% si CMT clinique </w:t>
      </w:r>
    </w:p>
    <w:p w:rsidR="0094051A" w:rsidRDefault="0094051A" w:rsidP="0094051A">
      <w:pPr>
        <w:pStyle w:val="Paragraphedeliste"/>
        <w:numPr>
          <w:ilvl w:val="0"/>
          <w:numId w:val="2"/>
        </w:numPr>
      </w:pPr>
      <w:r>
        <w:t>Et 90% pour T3-T4</w:t>
      </w:r>
    </w:p>
    <w:p w:rsidR="0094051A" w:rsidRDefault="0094051A" w:rsidP="0094051A">
      <w:pPr>
        <w:pStyle w:val="Paragraphedeliste"/>
        <w:numPr>
          <w:ilvl w:val="0"/>
          <w:numId w:val="2"/>
        </w:numPr>
      </w:pPr>
    </w:p>
    <w:p w:rsidR="0094051A" w:rsidRDefault="0094051A" w:rsidP="0094051A">
      <w:r>
        <w:t xml:space="preserve">Métastases à distance </w:t>
      </w:r>
    </w:p>
    <w:p w:rsidR="0094051A" w:rsidRDefault="0094051A" w:rsidP="0094051A">
      <w:pPr>
        <w:pStyle w:val="Paragraphedeliste"/>
        <w:numPr>
          <w:ilvl w:val="0"/>
          <w:numId w:val="1"/>
        </w:numPr>
      </w:pPr>
      <w:proofErr w:type="gramStart"/>
      <w:r>
        <w:t>concernent</w:t>
      </w:r>
      <w:proofErr w:type="gramEnd"/>
      <w:r>
        <w:t xml:space="preserve"> en priorité : foie , poumons et os</w:t>
      </w:r>
    </w:p>
    <w:p w:rsidR="0094051A" w:rsidRDefault="00102718" w:rsidP="0094051A">
      <w:pPr>
        <w:pStyle w:val="Paragraphedeliste"/>
        <w:numPr>
          <w:ilvl w:val="0"/>
          <w:numId w:val="1"/>
        </w:numPr>
      </w:pPr>
      <w:proofErr w:type="gramStart"/>
      <w:r>
        <w:t>prévalence</w:t>
      </w:r>
      <w:proofErr w:type="gramEnd"/>
      <w:r w:rsidR="0094051A">
        <w:t xml:space="preserve"> de 5% dans les micro-CMT</w:t>
      </w:r>
    </w:p>
    <w:p w:rsidR="00102718" w:rsidRDefault="00102718" w:rsidP="00102718"/>
    <w:p w:rsidR="00102718" w:rsidRDefault="00102718" w:rsidP="00102718"/>
    <w:p w:rsidR="00102718" w:rsidRDefault="00102718" w:rsidP="00102718">
      <w:r>
        <w:t>Traitement</w:t>
      </w:r>
    </w:p>
    <w:p w:rsidR="00102718" w:rsidRDefault="00102718" w:rsidP="00102718">
      <w:pPr>
        <w:ind w:firstLine="708"/>
      </w:pPr>
      <w:proofErr w:type="spellStart"/>
      <w:r>
        <w:t>Thryroïdectomie</w:t>
      </w:r>
      <w:proofErr w:type="spellEnd"/>
      <w:r>
        <w:t xml:space="preserve"> totale</w:t>
      </w:r>
    </w:p>
    <w:p w:rsidR="00102718" w:rsidRDefault="00102718" w:rsidP="00102718">
      <w:pPr>
        <w:ind w:firstLine="708"/>
      </w:pPr>
      <w:r>
        <w:t>Curage ganglionnaire :</w:t>
      </w:r>
    </w:p>
    <w:p w:rsidR="00102718" w:rsidRDefault="00102718" w:rsidP="00102718">
      <w:pPr>
        <w:ind w:firstLine="708"/>
      </w:pPr>
      <w:r>
        <w:tab/>
        <w:t xml:space="preserve">Curage central et </w:t>
      </w:r>
      <w:proofErr w:type="spellStart"/>
      <w:r>
        <w:t>jugulocarotidien</w:t>
      </w:r>
      <w:proofErr w:type="spellEnd"/>
      <w:r>
        <w:t xml:space="preserve"> unilatéral si CN0 et </w:t>
      </w:r>
      <w:proofErr w:type="spellStart"/>
      <w:r>
        <w:t>thyrocacitonine</w:t>
      </w:r>
      <w:proofErr w:type="spellEnd"/>
      <w:r>
        <w:t xml:space="preserve"> &lt; 200 </w:t>
      </w:r>
      <w:proofErr w:type="spellStart"/>
      <w:r>
        <w:t>pg</w:t>
      </w:r>
      <w:proofErr w:type="spellEnd"/>
      <w:r>
        <w:t>/</w:t>
      </w:r>
      <w:proofErr w:type="spellStart"/>
      <w:r>
        <w:t>mL</w:t>
      </w:r>
      <w:proofErr w:type="spellEnd"/>
    </w:p>
    <w:p w:rsidR="00DA4C40" w:rsidRDefault="00DA4C40" w:rsidP="00102718">
      <w:pPr>
        <w:ind w:firstLine="708"/>
      </w:pPr>
    </w:p>
    <w:p w:rsidR="00DA4C40" w:rsidRDefault="00DA4C40" w:rsidP="00DA4C40">
      <w:pPr>
        <w:ind w:firstLine="708"/>
      </w:pPr>
      <w:r>
        <w:t xml:space="preserve">Dosage ACE et </w:t>
      </w:r>
      <w:proofErr w:type="spellStart"/>
      <w:r>
        <w:t>thyrocalctinonine</w:t>
      </w:r>
      <w:proofErr w:type="spellEnd"/>
      <w:r>
        <w:t xml:space="preserve"> 2 à 3 mois après la chirurgie -&gt; 4 groupes</w:t>
      </w:r>
    </w:p>
    <w:p w:rsidR="00DA4C40" w:rsidRDefault="00DA4C40" w:rsidP="00DA4C40">
      <w:pPr>
        <w:ind w:firstLine="708"/>
      </w:pPr>
    </w:p>
    <w:p w:rsidR="00DA4C40" w:rsidRDefault="00DA4C40" w:rsidP="00DA4C40">
      <w:pPr>
        <w:ind w:firstLine="708"/>
      </w:pPr>
      <w:r>
        <w:t>Radiothérapie :</w:t>
      </w:r>
    </w:p>
    <w:p w:rsidR="00DA4C40" w:rsidRDefault="00DA4C40" w:rsidP="00DA4C40">
      <w:pPr>
        <w:pStyle w:val="Paragraphedeliste"/>
        <w:numPr>
          <w:ilvl w:val="0"/>
          <w:numId w:val="1"/>
        </w:numPr>
      </w:pPr>
      <w:r>
        <w:lastRenderedPageBreak/>
        <w:t>Patients inopérables</w:t>
      </w:r>
    </w:p>
    <w:p w:rsidR="00DA4C40" w:rsidRDefault="00DA4C40" w:rsidP="00DA4C40">
      <w:pPr>
        <w:pStyle w:val="Paragraphedeliste"/>
        <w:numPr>
          <w:ilvl w:val="0"/>
          <w:numId w:val="1"/>
        </w:numPr>
      </w:pPr>
      <w:r>
        <w:t xml:space="preserve">Persistance d’un taux </w:t>
      </w:r>
      <w:proofErr w:type="spellStart"/>
      <w:r>
        <w:t>thyrocalcitonine</w:t>
      </w:r>
      <w:proofErr w:type="spellEnd"/>
      <w:r>
        <w:t xml:space="preserve"> élevée après une chirurgie paraissant initialement complète ou après ré interventions pour récidives cervicales</w:t>
      </w:r>
    </w:p>
    <w:p w:rsidR="00DA4C40" w:rsidRDefault="00DA4C40" w:rsidP="00DA4C40"/>
    <w:p w:rsidR="00DA4C40" w:rsidRDefault="00DA4C40" w:rsidP="00DA4C40"/>
    <w:p w:rsidR="00DA4C40" w:rsidRDefault="00DA4C40" w:rsidP="00DA4C40">
      <w:r>
        <w:t>Pronostic</w:t>
      </w:r>
    </w:p>
    <w:p w:rsidR="0094051A" w:rsidRDefault="00DA4C40">
      <w:r>
        <w:t>Taux de survie à 10 ans </w:t>
      </w:r>
    </w:p>
    <w:p w:rsidR="006E1A80" w:rsidRDefault="006E1A80">
      <w:r>
        <w:t>Stade 1 : 100%</w:t>
      </w:r>
    </w:p>
    <w:p w:rsidR="006E1A80" w:rsidRDefault="006E1A80">
      <w:r>
        <w:t>Stade 2 : 93%</w:t>
      </w:r>
    </w:p>
    <w:p w:rsidR="006E1A80" w:rsidRDefault="006E1A80">
      <w:r>
        <w:t xml:space="preserve">Stade 3 : </w:t>
      </w:r>
      <w:r>
        <w:t>71%</w:t>
      </w:r>
    </w:p>
    <w:p w:rsidR="006E1A80" w:rsidRDefault="006E1A80">
      <w:r>
        <w:t>Stade 4 : 20%</w:t>
      </w:r>
    </w:p>
    <w:sectPr w:rsidR="006E1A80" w:rsidSect="0053357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109F9"/>
    <w:multiLevelType w:val="hybridMultilevel"/>
    <w:tmpl w:val="F530BBEA"/>
    <w:lvl w:ilvl="0" w:tplc="C8A4D71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116C3"/>
    <w:multiLevelType w:val="hybridMultilevel"/>
    <w:tmpl w:val="6C2AF73A"/>
    <w:lvl w:ilvl="0" w:tplc="A28C64B2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1A"/>
    <w:rsid w:val="00102718"/>
    <w:rsid w:val="00533574"/>
    <w:rsid w:val="006E1A80"/>
    <w:rsid w:val="00831B96"/>
    <w:rsid w:val="0094051A"/>
    <w:rsid w:val="00DA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C44FD7"/>
  <w14:defaultImageDpi w14:val="32767"/>
  <w15:chartTrackingRefBased/>
  <w15:docId w15:val="{D559E23F-4EEF-9D4F-8D07-200DA185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BIZEAU</dc:creator>
  <cp:keywords/>
  <dc:description/>
  <cp:lastModifiedBy>Alain BIZEAU</cp:lastModifiedBy>
  <cp:revision>1</cp:revision>
  <dcterms:created xsi:type="dcterms:W3CDTF">2020-03-10T15:55:00Z</dcterms:created>
  <dcterms:modified xsi:type="dcterms:W3CDTF">2020-03-10T16:29:00Z</dcterms:modified>
</cp:coreProperties>
</file>